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80086D"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E73D2F">
        <w:tc>
          <w:tcPr>
            <w:tcW w:w="4068" w:type="dxa"/>
            <w:gridSpan w:val="2"/>
            <w:shd w:val="clear" w:color="auto" w:fill="auto"/>
          </w:tcPr>
          <w:p w:rsidR="00586F20" w:rsidRPr="00272CE4" w:rsidRDefault="009D72AA" w:rsidP="00993D2B">
            <w:pPr>
              <w:rPr>
                <w:rFonts w:ascii="Arial" w:hAnsi="Arial"/>
              </w:rPr>
            </w:pPr>
            <w:r w:rsidRPr="00E73D2F">
              <w:rPr>
                <w:rFonts w:ascii="Arial" w:hAnsi="Arial"/>
                <w:b/>
              </w:rPr>
              <w:t>Officer:</w:t>
            </w:r>
            <w:r w:rsidR="00272CE4">
              <w:rPr>
                <w:rFonts w:ascii="Arial" w:hAnsi="Arial"/>
                <w:b/>
              </w:rPr>
              <w:t xml:space="preserve"> </w:t>
            </w:r>
            <w:r w:rsidR="00272CE4" w:rsidRPr="00272CE4">
              <w:rPr>
                <w:rFonts w:ascii="Arial" w:hAnsi="Arial"/>
              </w:rPr>
              <w:t>Dawn Edwards,</w:t>
            </w:r>
          </w:p>
          <w:p w:rsidR="00272CE4" w:rsidRPr="00272CE4" w:rsidRDefault="00272CE4" w:rsidP="00993D2B">
            <w:pPr>
              <w:rPr>
                <w:rFonts w:ascii="Arial" w:hAnsi="Arial"/>
              </w:rPr>
            </w:pPr>
            <w:r w:rsidRPr="00272CE4">
              <w:rPr>
                <w:rFonts w:ascii="Arial" w:hAnsi="Arial"/>
              </w:rPr>
              <w:t>Head of Finance</w:t>
            </w:r>
          </w:p>
          <w:p w:rsidR="009D72AA" w:rsidRPr="00E73D2F" w:rsidRDefault="009D72AA" w:rsidP="00993D2B">
            <w:pPr>
              <w:rPr>
                <w:rFonts w:ascii="Arial" w:hAnsi="Arial"/>
              </w:rPr>
            </w:pPr>
          </w:p>
        </w:tc>
        <w:tc>
          <w:tcPr>
            <w:tcW w:w="5040" w:type="dxa"/>
            <w:shd w:val="clear" w:color="auto" w:fill="auto"/>
          </w:tcPr>
          <w:p w:rsidR="00586F20" w:rsidRPr="00E73D2F" w:rsidRDefault="00586F20" w:rsidP="00993D2B">
            <w:pPr>
              <w:rPr>
                <w:rFonts w:ascii="Arial" w:hAnsi="Arial"/>
                <w:b/>
              </w:rPr>
            </w:pPr>
            <w:r w:rsidRPr="00E73D2F">
              <w:rPr>
                <w:rFonts w:ascii="Arial" w:hAnsi="Arial"/>
                <w:b/>
              </w:rPr>
              <w:t>Date of Decision:</w:t>
            </w:r>
          </w:p>
          <w:p w:rsidR="00E74CDA" w:rsidRPr="00E73D2F" w:rsidRDefault="0081359B" w:rsidP="00E6303D">
            <w:pPr>
              <w:rPr>
                <w:rFonts w:ascii="Arial" w:hAnsi="Arial"/>
              </w:rPr>
            </w:pPr>
            <w:r>
              <w:rPr>
                <w:rFonts w:ascii="Arial" w:hAnsi="Arial"/>
              </w:rPr>
              <w:t>01/04</w:t>
            </w:r>
            <w:r w:rsidR="00967D94">
              <w:rPr>
                <w:rFonts w:ascii="Arial" w:hAnsi="Arial"/>
              </w:rPr>
              <w:t>/2022</w:t>
            </w:r>
          </w:p>
        </w:tc>
      </w:tr>
      <w:tr w:rsidR="00586F20" w:rsidRPr="00E73D2F" w:rsidTr="00E73D2F">
        <w:tc>
          <w:tcPr>
            <w:tcW w:w="9108" w:type="dxa"/>
            <w:gridSpan w:val="3"/>
            <w:shd w:val="clear" w:color="auto" w:fill="auto"/>
          </w:tcPr>
          <w:p w:rsidR="009B175F" w:rsidRDefault="00586F20" w:rsidP="00993D2B">
            <w:pPr>
              <w:rPr>
                <w:rFonts w:ascii="Arial" w:hAnsi="Arial"/>
                <w:b/>
              </w:rPr>
            </w:pPr>
            <w:r w:rsidRPr="00E73D2F">
              <w:rPr>
                <w:rFonts w:ascii="Arial" w:hAnsi="Arial"/>
                <w:b/>
              </w:rPr>
              <w:t xml:space="preserve">Title/Reference: </w:t>
            </w:r>
          </w:p>
          <w:p w:rsidR="00586F20" w:rsidRDefault="009B175F" w:rsidP="00993D2B">
            <w:pPr>
              <w:rPr>
                <w:rFonts w:ascii="Arial" w:hAnsi="Arial"/>
              </w:rPr>
            </w:pPr>
            <w:r w:rsidRPr="009B175F">
              <w:rPr>
                <w:rFonts w:ascii="Arial" w:hAnsi="Arial"/>
              </w:rPr>
              <w:t>Award of discretionary rate relief</w:t>
            </w:r>
            <w:r>
              <w:rPr>
                <w:rFonts w:ascii="Arial" w:hAnsi="Arial"/>
              </w:rPr>
              <w:t xml:space="preserve"> </w:t>
            </w:r>
            <w:r w:rsidRPr="009B175F">
              <w:rPr>
                <w:rFonts w:ascii="Arial" w:hAnsi="Arial"/>
              </w:rPr>
              <w:t>– NNDR Ref</w:t>
            </w:r>
            <w:r>
              <w:rPr>
                <w:rFonts w:ascii="Arial" w:hAnsi="Arial"/>
              </w:rPr>
              <w:t>:</w:t>
            </w:r>
            <w:r w:rsidRPr="009B175F">
              <w:rPr>
                <w:rFonts w:ascii="Arial" w:hAnsi="Arial"/>
              </w:rPr>
              <w:t xml:space="preserve"> </w:t>
            </w:r>
            <w:r w:rsidR="005309D7">
              <w:rPr>
                <w:rFonts w:ascii="Arial" w:hAnsi="Arial"/>
              </w:rPr>
              <w:t>3017833</w:t>
            </w:r>
          </w:p>
          <w:p w:rsidR="00BF614A" w:rsidRDefault="00BF614A" w:rsidP="00993D2B">
            <w:pPr>
              <w:rPr>
                <w:rFonts w:ascii="Arial" w:hAnsi="Arial"/>
              </w:rPr>
            </w:pPr>
          </w:p>
          <w:p w:rsidR="00BF614A" w:rsidRPr="00E73D2F" w:rsidRDefault="00BF614A" w:rsidP="00993D2B">
            <w:pPr>
              <w:rPr>
                <w:rFonts w:ascii="Arial" w:hAnsi="Arial"/>
                <w:b/>
              </w:rPr>
            </w:pPr>
            <w:r w:rsidRPr="00BF614A">
              <w:rPr>
                <w:rFonts w:ascii="Arial" w:hAnsi="Arial"/>
                <w:b/>
              </w:rPr>
              <w:t>De</w:t>
            </w:r>
            <w:r>
              <w:rPr>
                <w:rFonts w:ascii="Arial" w:hAnsi="Arial"/>
                <w:b/>
              </w:rPr>
              <w:t>legated Decision Reference No</w:t>
            </w:r>
            <w:r w:rsidR="00ED163E">
              <w:rPr>
                <w:rFonts w:ascii="Arial" w:hAnsi="Arial"/>
                <w:b/>
              </w:rPr>
              <w:t xml:space="preserve"> 22/ 07/</w:t>
            </w:r>
            <w:r w:rsidRPr="00BF614A">
              <w:rPr>
                <w:rFonts w:ascii="Arial" w:hAnsi="Arial"/>
                <w:b/>
              </w:rPr>
              <w:t>FIN</w:t>
            </w:r>
          </w:p>
          <w:p w:rsidR="00E74CDA" w:rsidRPr="00E73D2F" w:rsidRDefault="00E74CDA" w:rsidP="009B175F">
            <w:pPr>
              <w:rPr>
                <w:rFonts w:ascii="Arial" w:hAnsi="Arial"/>
              </w:rPr>
            </w:pPr>
          </w:p>
        </w:tc>
      </w:tr>
      <w:tr w:rsidR="00586F20" w:rsidRPr="00E73D2F" w:rsidTr="00E73D2F">
        <w:tc>
          <w:tcPr>
            <w:tcW w:w="9108" w:type="dxa"/>
            <w:gridSpan w:val="3"/>
            <w:shd w:val="clear" w:color="auto" w:fill="auto"/>
          </w:tcPr>
          <w:p w:rsidR="00586F20" w:rsidRPr="00272CE4"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272CE4">
              <w:rPr>
                <w:rFonts w:ascii="Arial" w:hAnsi="Arial"/>
                <w:b/>
              </w:rPr>
              <w:t xml:space="preserve"> </w:t>
            </w:r>
            <w:r w:rsidR="00272CE4">
              <w:rPr>
                <w:rFonts w:ascii="Arial" w:hAnsi="Arial"/>
              </w:rPr>
              <w:t>N/A</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9B175F" w:rsidRDefault="00586F20" w:rsidP="00E73D2F">
            <w:pPr>
              <w:jc w:val="both"/>
              <w:rPr>
                <w:rFonts w:ascii="Arial" w:hAnsi="Arial"/>
              </w:rPr>
            </w:pPr>
            <w:r w:rsidRPr="00E73D2F">
              <w:rPr>
                <w:rFonts w:ascii="Arial" w:hAnsi="Arial"/>
                <w:b/>
              </w:rPr>
              <w:t>Record of Decision</w:t>
            </w:r>
            <w:r w:rsidR="009D72AA" w:rsidRPr="00E73D2F">
              <w:rPr>
                <w:rFonts w:ascii="Arial" w:hAnsi="Arial"/>
                <w:b/>
              </w:rPr>
              <w:t>:</w:t>
            </w:r>
            <w:r w:rsidR="009B175F" w:rsidRPr="009B175F">
              <w:rPr>
                <w:rFonts w:ascii="Arial" w:hAnsi="Arial"/>
              </w:rPr>
              <w:t xml:space="preserve"> </w:t>
            </w:r>
          </w:p>
          <w:p w:rsidR="00586F20" w:rsidRPr="00E73D2F" w:rsidRDefault="009B175F" w:rsidP="00E73D2F">
            <w:pPr>
              <w:jc w:val="both"/>
              <w:rPr>
                <w:rFonts w:ascii="Arial" w:hAnsi="Arial"/>
                <w:b/>
              </w:rPr>
            </w:pPr>
            <w:r w:rsidRPr="009B175F">
              <w:rPr>
                <w:rFonts w:ascii="Arial" w:hAnsi="Arial"/>
              </w:rPr>
              <w:t xml:space="preserve">Section 47 discretionary rate relief of </w:t>
            </w:r>
            <w:r w:rsidR="005309D7">
              <w:rPr>
                <w:rFonts w:ascii="Arial" w:hAnsi="Arial"/>
              </w:rPr>
              <w:t>5</w:t>
            </w:r>
            <w:r w:rsidRPr="009B175F">
              <w:rPr>
                <w:rFonts w:ascii="Arial" w:hAnsi="Arial"/>
              </w:rPr>
              <w:t xml:space="preserve">0% is awarded to the organisation NNDR reference number </w:t>
            </w:r>
            <w:r w:rsidR="005309D7">
              <w:rPr>
                <w:rFonts w:ascii="Arial" w:hAnsi="Arial"/>
              </w:rPr>
              <w:t>3017833</w:t>
            </w:r>
            <w:r w:rsidRPr="009B175F">
              <w:rPr>
                <w:rFonts w:ascii="Arial" w:hAnsi="Arial"/>
              </w:rPr>
              <w:t xml:space="preserve"> from </w:t>
            </w:r>
            <w:r w:rsidR="00776794">
              <w:rPr>
                <w:rFonts w:ascii="Arial" w:hAnsi="Arial"/>
              </w:rPr>
              <w:t>01/04</w:t>
            </w:r>
            <w:r w:rsidR="00C276FF">
              <w:rPr>
                <w:rFonts w:ascii="Arial" w:hAnsi="Arial"/>
              </w:rPr>
              <w:t>/</w:t>
            </w:r>
            <w:r w:rsidR="00E6303D">
              <w:rPr>
                <w:rFonts w:ascii="Arial" w:hAnsi="Arial"/>
              </w:rPr>
              <w:t>2</w:t>
            </w:r>
            <w:r w:rsidR="00967D94">
              <w:rPr>
                <w:rFonts w:ascii="Arial" w:hAnsi="Arial"/>
              </w:rPr>
              <w:t>2</w:t>
            </w:r>
            <w:r w:rsidRPr="009B175F">
              <w:rPr>
                <w:rFonts w:ascii="Arial" w:hAnsi="Arial"/>
              </w:rPr>
              <w:t xml:space="preserve"> until 31/03/2</w:t>
            </w:r>
            <w:r w:rsidR="00967D94">
              <w:rPr>
                <w:rFonts w:ascii="Arial" w:hAnsi="Arial"/>
              </w:rPr>
              <w:t>3</w:t>
            </w:r>
            <w:r w:rsidRPr="009B175F">
              <w:rPr>
                <w:rFonts w:ascii="Arial" w:hAnsi="Arial"/>
              </w:rPr>
              <w:t>.</w:t>
            </w:r>
          </w:p>
          <w:p w:rsidR="009C3E0D" w:rsidRPr="00E73D2F" w:rsidRDefault="009C3E0D" w:rsidP="000553E6">
            <w:pPr>
              <w:jc w:val="both"/>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Reasons for decision</w:t>
            </w:r>
            <w:r w:rsidR="009D72AA" w:rsidRPr="00E73D2F">
              <w:rPr>
                <w:rFonts w:ascii="Arial" w:hAnsi="Arial"/>
                <w:b/>
              </w:rPr>
              <w:t>:</w:t>
            </w:r>
          </w:p>
          <w:p w:rsidR="00C276FF" w:rsidRPr="00C276FF" w:rsidRDefault="00C276FF" w:rsidP="00C276FF">
            <w:pPr>
              <w:rPr>
                <w:rFonts w:ascii="Arial" w:hAnsi="Arial"/>
              </w:rPr>
            </w:pPr>
            <w:r w:rsidRPr="00C276FF">
              <w:rPr>
                <w:rFonts w:ascii="Arial" w:hAnsi="Arial"/>
              </w:rPr>
              <w:t xml:space="preserve">The objectives and activities meet the requirements for </w:t>
            </w:r>
            <w:r w:rsidR="005309D7">
              <w:rPr>
                <w:rFonts w:ascii="Arial" w:hAnsi="Arial"/>
              </w:rPr>
              <w:t>Discretionary Rate R</w:t>
            </w:r>
            <w:r w:rsidRPr="00C276FF">
              <w:rPr>
                <w:rFonts w:ascii="Arial" w:hAnsi="Arial"/>
              </w:rPr>
              <w:t>elief.</w:t>
            </w:r>
          </w:p>
          <w:p w:rsidR="00C276FF" w:rsidRDefault="00C276FF" w:rsidP="00C276FF">
            <w:pPr>
              <w:rPr>
                <w:rFonts w:ascii="Arial" w:hAnsi="Arial"/>
              </w:rPr>
            </w:pPr>
          </w:p>
          <w:p w:rsidR="00C276FF" w:rsidRPr="00C276FF" w:rsidRDefault="00C276FF" w:rsidP="00C276FF">
            <w:pPr>
              <w:rPr>
                <w:rFonts w:ascii="Arial" w:hAnsi="Arial"/>
              </w:rPr>
            </w:pPr>
            <w:r w:rsidRPr="00C276FF">
              <w:rPr>
                <w:rFonts w:ascii="Arial" w:hAnsi="Arial"/>
              </w:rPr>
              <w:t xml:space="preserve">In determining the application for </w:t>
            </w:r>
            <w:r>
              <w:rPr>
                <w:rFonts w:ascii="Arial" w:hAnsi="Arial"/>
              </w:rPr>
              <w:t xml:space="preserve">discretionary </w:t>
            </w:r>
            <w:r w:rsidRPr="00C276FF">
              <w:rPr>
                <w:rFonts w:ascii="Arial" w:hAnsi="Arial"/>
              </w:rPr>
              <w:t>rate relief the following matters have been taken into consideration.</w:t>
            </w:r>
          </w:p>
          <w:p w:rsidR="00C276FF" w:rsidRPr="00C276FF" w:rsidRDefault="00C276FF" w:rsidP="00C276FF">
            <w:pPr>
              <w:rPr>
                <w:rFonts w:ascii="Arial" w:hAnsi="Arial"/>
                <w:b/>
              </w:rPr>
            </w:pPr>
          </w:p>
          <w:p w:rsidR="00C276FF" w:rsidRPr="00C276FF" w:rsidRDefault="00C276FF" w:rsidP="00C276FF">
            <w:pPr>
              <w:numPr>
                <w:ilvl w:val="0"/>
                <w:numId w:val="2"/>
              </w:numPr>
              <w:rPr>
                <w:rFonts w:ascii="Arial" w:hAnsi="Arial"/>
              </w:rPr>
            </w:pPr>
            <w:r w:rsidRPr="00C276FF">
              <w:rPr>
                <w:rFonts w:ascii="Arial" w:hAnsi="Arial"/>
              </w:rPr>
              <w:t>How the charity supports the Council’s aspirations and corporate priorities;</w:t>
            </w:r>
          </w:p>
          <w:p w:rsidR="00C276FF" w:rsidRPr="00C276FF" w:rsidRDefault="00C276FF" w:rsidP="00C276FF">
            <w:pPr>
              <w:numPr>
                <w:ilvl w:val="0"/>
                <w:numId w:val="2"/>
              </w:numPr>
              <w:rPr>
                <w:rFonts w:ascii="Arial" w:hAnsi="Arial"/>
              </w:rPr>
            </w:pPr>
            <w:r w:rsidRPr="00C276FF">
              <w:rPr>
                <w:rFonts w:ascii="Arial" w:hAnsi="Arial"/>
              </w:rPr>
              <w:t xml:space="preserve">The purpose of the charity and the specific activity carried out within the building for which relief is requested; and </w:t>
            </w:r>
          </w:p>
          <w:p w:rsidR="00C276FF" w:rsidRPr="00C276FF" w:rsidRDefault="00C276FF" w:rsidP="00C276FF">
            <w:pPr>
              <w:numPr>
                <w:ilvl w:val="0"/>
                <w:numId w:val="2"/>
              </w:numPr>
              <w:rPr>
                <w:rFonts w:ascii="Arial" w:hAnsi="Arial"/>
              </w:rPr>
            </w:pPr>
            <w:r w:rsidRPr="00C276FF">
              <w:rPr>
                <w:rFonts w:ascii="Arial" w:hAnsi="Arial"/>
              </w:rPr>
              <w:t>Whether the charity operates at a local or national level and where appropriate, the local and national funding streams and financial position of the charity.</w:t>
            </w:r>
          </w:p>
          <w:p w:rsidR="00C276FF" w:rsidRDefault="00C276FF" w:rsidP="00C276FF">
            <w:pPr>
              <w:rPr>
                <w:rFonts w:ascii="Arial" w:hAnsi="Arial"/>
              </w:rPr>
            </w:pPr>
          </w:p>
          <w:p w:rsidR="009B175F" w:rsidRPr="009B175F" w:rsidRDefault="009B175F" w:rsidP="00C276FF">
            <w:pPr>
              <w:rPr>
                <w:rFonts w:ascii="Arial" w:hAnsi="Arial"/>
              </w:rPr>
            </w:pPr>
            <w:r w:rsidRPr="009B175F">
              <w:rPr>
                <w:rFonts w:ascii="Arial" w:hAnsi="Arial"/>
              </w:rPr>
              <w:t>The application meets the criteria of the Councils’ National Non Domestic Rate Policy for Section 47 Discretionary Rate Relief for organisations which are not established or conducted for profit and whose main objects are charitable, or otherwise philanthropic or concerned with education, social welfare, science, literature or the fine arts.</w:t>
            </w:r>
          </w:p>
          <w:p w:rsidR="00C276FF" w:rsidRPr="00E73D2F" w:rsidRDefault="00C276FF" w:rsidP="00C276FF">
            <w:pPr>
              <w:rPr>
                <w:rFonts w:ascii="Arial" w:hAnsi="Arial"/>
                <w:lang w:val="en-US"/>
              </w:rPr>
            </w:pPr>
          </w:p>
        </w:tc>
      </w:tr>
      <w:tr w:rsidR="003D5331" w:rsidRPr="00E73D2F" w:rsidTr="00E73D2F">
        <w:tc>
          <w:tcPr>
            <w:tcW w:w="9108" w:type="dxa"/>
            <w:gridSpan w:val="3"/>
            <w:shd w:val="clear" w:color="auto" w:fill="auto"/>
          </w:tcPr>
          <w:p w:rsidR="003D5331" w:rsidRPr="00E73D2F" w:rsidRDefault="003D5331" w:rsidP="003D5331">
            <w:pPr>
              <w:rPr>
                <w:rFonts w:ascii="Arial" w:hAnsi="Arial"/>
                <w:b/>
              </w:rPr>
            </w:pPr>
            <w:r w:rsidRPr="00E73D2F">
              <w:rPr>
                <w:rFonts w:ascii="Arial" w:hAnsi="Arial"/>
                <w:b/>
              </w:rPr>
              <w:t>Legal Powers / Authority:</w:t>
            </w:r>
          </w:p>
          <w:p w:rsidR="009B6FB1" w:rsidRPr="009B175F" w:rsidRDefault="009B175F" w:rsidP="000553E6">
            <w:pPr>
              <w:rPr>
                <w:rFonts w:ascii="Arial" w:hAnsi="Arial"/>
              </w:rPr>
            </w:pPr>
            <w:r>
              <w:rPr>
                <w:rFonts w:ascii="Arial" w:hAnsi="Arial"/>
              </w:rPr>
              <w:t>Delegated to Head of Finance</w:t>
            </w: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74CDA" w:rsidRDefault="00E524AE" w:rsidP="00E74CDA">
            <w:pPr>
              <w:rPr>
                <w:rFonts w:ascii="Arial" w:hAnsi="Arial"/>
              </w:rPr>
            </w:pPr>
            <w:r>
              <w:rPr>
                <w:rFonts w:ascii="Arial" w:hAnsi="Arial"/>
                <w:b/>
              </w:rPr>
              <w:t>Relevant Legislation:</w:t>
            </w:r>
            <w:r w:rsidR="00E74CDA">
              <w:rPr>
                <w:rFonts w:ascii="Arial" w:hAnsi="Arial"/>
              </w:rPr>
              <w:t xml:space="preserve"> </w:t>
            </w:r>
          </w:p>
          <w:p w:rsidR="00E524AE" w:rsidRPr="009B175F" w:rsidRDefault="009B175F" w:rsidP="00E524AE">
            <w:pPr>
              <w:rPr>
                <w:rFonts w:ascii="Arial" w:hAnsi="Arial"/>
              </w:rPr>
            </w:pPr>
            <w:r w:rsidRPr="009B175F">
              <w:rPr>
                <w:rFonts w:ascii="Arial" w:hAnsi="Arial"/>
              </w:rPr>
              <w:t>Section 47 of the Local Government Finance Act 1988 as amended by the Localism Act 2011</w:t>
            </w: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Finance: </w:t>
            </w:r>
          </w:p>
          <w:p w:rsidR="00E524AE" w:rsidRPr="00C276FF" w:rsidRDefault="00C276FF" w:rsidP="003D5331">
            <w:pPr>
              <w:rPr>
                <w:rFonts w:ascii="Arial" w:hAnsi="Arial"/>
              </w:rPr>
            </w:pPr>
            <w:r w:rsidRPr="00C276FF">
              <w:rPr>
                <w:rFonts w:ascii="Arial" w:hAnsi="Arial"/>
              </w:rPr>
              <w:t>Own decision.</w:t>
            </w: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E524AE">
            <w:pPr>
              <w:rPr>
                <w:rFonts w:ascii="Arial" w:hAnsi="Arial"/>
                <w:b/>
              </w:rPr>
            </w:pPr>
            <w:r w:rsidRPr="00E73D2F">
              <w:rPr>
                <w:rFonts w:ascii="Arial" w:hAnsi="Arial"/>
                <w:b/>
              </w:rPr>
              <w:t>Monitoring Officer:</w:t>
            </w:r>
            <w:r w:rsidR="00A64365">
              <w:rPr>
                <w:rFonts w:ascii="Arial" w:hAnsi="Arial"/>
                <w:b/>
              </w:rPr>
              <w:t xml:space="preserve"> </w:t>
            </w:r>
          </w:p>
          <w:p w:rsidR="00116ABD" w:rsidRPr="00A64365" w:rsidRDefault="00116ABD" w:rsidP="00E524AE">
            <w:pPr>
              <w:rPr>
                <w:rFonts w:ascii="Arial" w:hAnsi="Arial"/>
              </w:rPr>
            </w:pPr>
          </w:p>
          <w:p w:rsidR="00E74CDA" w:rsidRPr="00116ABD" w:rsidRDefault="00116ABD" w:rsidP="00116ABD">
            <w:pPr>
              <w:rPr>
                <w:rFonts w:ascii="Arial" w:hAnsi="Arial"/>
              </w:rPr>
            </w:pPr>
            <w:r w:rsidRPr="00116ABD">
              <w:rPr>
                <w:rFonts w:ascii="Arial" w:hAnsi="Arial"/>
              </w:rPr>
              <w:t>No specific comments</w:t>
            </w:r>
          </w:p>
          <w:p w:rsidR="00116ABD" w:rsidRPr="00E73D2F" w:rsidRDefault="00116ABD" w:rsidP="00116ABD">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0553E6">
            <w:pPr>
              <w:rPr>
                <w:rFonts w:ascii="Arial" w:hAnsi="Arial"/>
                <w:b/>
              </w:rPr>
            </w:pPr>
            <w:r w:rsidRPr="00E73D2F">
              <w:rPr>
                <w:rFonts w:ascii="Arial" w:hAnsi="Arial"/>
                <w:b/>
              </w:rPr>
              <w:t>Section 151 Officer:</w:t>
            </w:r>
            <w:r w:rsidR="00A64365">
              <w:rPr>
                <w:rFonts w:ascii="Arial" w:hAnsi="Arial"/>
                <w:b/>
              </w:rPr>
              <w:t xml:space="preserve"> </w:t>
            </w:r>
          </w:p>
          <w:p w:rsidR="007F3664" w:rsidRDefault="007F3664" w:rsidP="000553E6">
            <w:pPr>
              <w:rPr>
                <w:rFonts w:ascii="Arial" w:hAnsi="Arial"/>
                <w:b/>
              </w:rPr>
            </w:pPr>
          </w:p>
          <w:p w:rsidR="007F3664" w:rsidRDefault="00116ABD" w:rsidP="000553E6">
            <w:pPr>
              <w:rPr>
                <w:rFonts w:ascii="Arial" w:hAnsi="Arial"/>
              </w:rPr>
            </w:pPr>
            <w:r>
              <w:rPr>
                <w:rFonts w:ascii="Arial" w:hAnsi="Arial"/>
              </w:rPr>
              <w:t>Decision taker</w:t>
            </w:r>
          </w:p>
          <w:p w:rsidR="00116ABD" w:rsidRPr="007F3664" w:rsidRDefault="00116ABD" w:rsidP="000553E6">
            <w:pPr>
              <w:rPr>
                <w:rFonts w:ascii="Arial" w:hAnsi="Arial"/>
              </w:rPr>
            </w:pP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79511A" w:rsidRDefault="0079511A" w:rsidP="003D5331">
            <w:pPr>
              <w:rPr>
                <w:noProof/>
              </w:rPr>
            </w:pPr>
          </w:p>
          <w:p w:rsidR="00046933" w:rsidRPr="0079511A" w:rsidRDefault="0079511A" w:rsidP="003D5331">
            <w:pPr>
              <w:rPr>
                <w:rFonts w:ascii="Arial" w:hAnsi="Arial" w:cs="Arial"/>
                <w:b/>
                <w:sz w:val="28"/>
                <w:szCs w:val="28"/>
              </w:rPr>
            </w:pPr>
            <w:r w:rsidRPr="0079511A">
              <w:rPr>
                <w:rFonts w:ascii="Arial" w:hAnsi="Arial" w:cs="Arial"/>
                <w:noProof/>
                <w:sz w:val="28"/>
                <w:szCs w:val="28"/>
              </w:rPr>
              <w:t>Dawn Edwards</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10B" w:rsidRDefault="0032410B">
      <w:r>
        <w:separator/>
      </w:r>
    </w:p>
  </w:endnote>
  <w:endnote w:type="continuationSeparator" w:id="0">
    <w:p w:rsidR="0032410B" w:rsidRDefault="0032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10B" w:rsidRDefault="0032410B">
      <w:r>
        <w:separator/>
      </w:r>
    </w:p>
  </w:footnote>
  <w:footnote w:type="continuationSeparator" w:id="0">
    <w:p w:rsidR="0032410B" w:rsidRDefault="0032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82DFA"/>
    <w:multiLevelType w:val="hybridMultilevel"/>
    <w:tmpl w:val="38965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0B2BE8"/>
    <w:multiLevelType w:val="hybridMultilevel"/>
    <w:tmpl w:val="36D0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35995"/>
    <w:rsid w:val="00046933"/>
    <w:rsid w:val="000553E6"/>
    <w:rsid w:val="00082425"/>
    <w:rsid w:val="000C2E4B"/>
    <w:rsid w:val="000C7A93"/>
    <w:rsid w:val="00116ABD"/>
    <w:rsid w:val="00165587"/>
    <w:rsid w:val="00190E02"/>
    <w:rsid w:val="001E73CC"/>
    <w:rsid w:val="001F4438"/>
    <w:rsid w:val="00272CE4"/>
    <w:rsid w:val="00284ECD"/>
    <w:rsid w:val="002D6E1E"/>
    <w:rsid w:val="002E4C1F"/>
    <w:rsid w:val="002E566A"/>
    <w:rsid w:val="0032410B"/>
    <w:rsid w:val="00362D1E"/>
    <w:rsid w:val="003A04B0"/>
    <w:rsid w:val="003D5331"/>
    <w:rsid w:val="004437AD"/>
    <w:rsid w:val="0045396C"/>
    <w:rsid w:val="00475585"/>
    <w:rsid w:val="004A4D03"/>
    <w:rsid w:val="005309D7"/>
    <w:rsid w:val="00586F20"/>
    <w:rsid w:val="00640F4F"/>
    <w:rsid w:val="00695F89"/>
    <w:rsid w:val="006C36F8"/>
    <w:rsid w:val="00721168"/>
    <w:rsid w:val="00776794"/>
    <w:rsid w:val="00793D98"/>
    <w:rsid w:val="0079511A"/>
    <w:rsid w:val="007963DA"/>
    <w:rsid w:val="007B7BFB"/>
    <w:rsid w:val="007F3664"/>
    <w:rsid w:val="0080086D"/>
    <w:rsid w:val="0081359B"/>
    <w:rsid w:val="00967D94"/>
    <w:rsid w:val="00993D2B"/>
    <w:rsid w:val="009B175F"/>
    <w:rsid w:val="009B6FB1"/>
    <w:rsid w:val="009C3E0D"/>
    <w:rsid w:val="009D72AA"/>
    <w:rsid w:val="00A64365"/>
    <w:rsid w:val="00AD149C"/>
    <w:rsid w:val="00AE68C9"/>
    <w:rsid w:val="00B01B98"/>
    <w:rsid w:val="00BB1318"/>
    <w:rsid w:val="00BF614A"/>
    <w:rsid w:val="00C276FF"/>
    <w:rsid w:val="00C61517"/>
    <w:rsid w:val="00D70FF0"/>
    <w:rsid w:val="00E4397C"/>
    <w:rsid w:val="00E508FB"/>
    <w:rsid w:val="00E524AE"/>
    <w:rsid w:val="00E6303D"/>
    <w:rsid w:val="00E73048"/>
    <w:rsid w:val="00E73D2F"/>
    <w:rsid w:val="00E74CDA"/>
    <w:rsid w:val="00EA57CD"/>
    <w:rsid w:val="00ED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471F5"/>
  <w15:chartTrackingRefBased/>
  <w15:docId w15:val="{DF5914D3-8283-473B-B0A9-24E6ACE9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2346</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2022-04-11T12:36:00Z</dcterms:created>
  <dcterms:modified xsi:type="dcterms:W3CDTF">2022-04-11T12:36:00Z</dcterms:modified>
</cp:coreProperties>
</file>